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403259" w:rsidP="00403259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II.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Ejecutivo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Federal,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federativas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municipales</w:t>
      </w:r>
      <w:bookmarkStart w:id="0" w:name="_GoBack"/>
      <w:bookmarkEnd w:id="0"/>
    </w:p>
    <w:tbl>
      <w:tblPr>
        <w:tblW w:w="1077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4"/>
        <w:gridCol w:w="1441"/>
        <w:gridCol w:w="1770"/>
        <w:gridCol w:w="2409"/>
        <w:gridCol w:w="2241"/>
        <w:gridCol w:w="1728"/>
      </w:tblGrid>
      <w:tr w:rsidR="004D5B7A" w:rsidRPr="00403259" w:rsidTr="009928EA">
        <w:trPr>
          <w:trHeight w:val="20"/>
        </w:trPr>
        <w:tc>
          <w:tcPr>
            <w:tcW w:w="1184" w:type="dxa"/>
            <w:shd w:val="clear" w:color="auto" w:fill="BFBFBF"/>
            <w:noWrap/>
            <w:vAlign w:val="center"/>
          </w:tcPr>
          <w:p w:rsidR="004D5B7A" w:rsidRPr="00403259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441" w:type="dxa"/>
            <w:shd w:val="clear" w:color="auto" w:fill="BFBFBF"/>
            <w:vAlign w:val="center"/>
          </w:tcPr>
          <w:p w:rsidR="004D5B7A" w:rsidRPr="00403259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770" w:type="dxa"/>
            <w:shd w:val="clear" w:color="auto" w:fill="BFBFBF"/>
            <w:vAlign w:val="center"/>
          </w:tcPr>
          <w:p w:rsidR="004D5B7A" w:rsidRPr="00403259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Inciso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4D5B7A" w:rsidRPr="00403259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241" w:type="dxa"/>
            <w:shd w:val="clear" w:color="auto" w:fill="BFBFBF"/>
            <w:vAlign w:val="center"/>
          </w:tcPr>
          <w:p w:rsidR="004D5B7A" w:rsidRPr="00403259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728" w:type="dxa"/>
            <w:shd w:val="clear" w:color="auto" w:fill="BFBFBF"/>
            <w:vAlign w:val="center"/>
          </w:tcPr>
          <w:p w:rsidR="004D5B7A" w:rsidRPr="00403259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71.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anterior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Ejecutivos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Federativas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caso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Poder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Ejecutivo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ejecutivos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Federativas,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Órgano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Ejecutivo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municipios: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Plan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Nacional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Desarrollo,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planes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estatales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Programa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General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según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corresponda;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Sexenal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Poder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Ejecutivo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Federativas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Gobierno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Ciudad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México: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decrete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Plan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respectivo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Congreso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Unión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realice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ejecución,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adecuación,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marzo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año.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Municipios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(Ayuntamientos).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Plan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Municipal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Desarrollo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cuatro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años,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dependiendo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legislación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2241" w:type="dxa"/>
            <w:vAlign w:val="center"/>
          </w:tcPr>
          <w:p w:rsidR="00B120D5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Poder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Ejecutivo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Federal,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Entidades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Federativas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Gobierno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Ciudad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México.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decrete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Plan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respectivo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Congreso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Unión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realice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ejecución,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adecuación,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marzo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año.</w:t>
            </w:r>
          </w:p>
          <w:p w:rsidR="004D5B7A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sz w:val="16"/>
                <w:szCs w:val="18"/>
              </w:rPr>
              <w:t>Municipios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sz w:val="16"/>
                <w:szCs w:val="18"/>
              </w:rPr>
              <w:t>(Ayuntamientos).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Plan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Municipal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Desarrollo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cuatro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años,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dependiendo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legislación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corresponda.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administraciones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presupuesto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egresos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fórmulas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distribución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otorgados;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todos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correspondientes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administración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administraciones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expropiaciones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decretadas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ejecutadas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incluya,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cuando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menos,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fecha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expropiación,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domicilio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causa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utilidad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pública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ocupaciones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superficiales;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administración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anterior</w:t>
            </w:r>
          </w:p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nombre,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denominación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razón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clave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contribuyentes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hubiera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cancelado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condonado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algún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crédito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fiscal,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respectivos.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Asimismo,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lastRenderedPageBreak/>
              <w:t>estadística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exenciones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previstas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fiscales;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curso.</w:t>
            </w:r>
          </w:p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personas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quienes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habilitó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ejercer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corredores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notarios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públicos,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datos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contacto,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proceso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otorgamiento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patente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sanciones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hubieran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aplicado;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vigente.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detallada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contengan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planes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urbano,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ordenamiento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territorial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ecológico,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tipos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usos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suelo,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licencias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construcción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otorgadas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gobiernos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Anual.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Poder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Ejecutivo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Estatales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Ciudad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México.</w:t>
            </w:r>
          </w:p>
          <w:p w:rsidR="00B120D5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municipios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el/los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Plan(es)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Municipales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cuatro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años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según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corresponda.</w:t>
            </w:r>
          </w:p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tipos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suelo,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licencias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construcción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trimestralmente.</w:t>
            </w:r>
          </w:p>
        </w:tc>
        <w:tc>
          <w:tcPr>
            <w:tcW w:w="2241" w:type="dxa"/>
            <w:vAlign w:val="center"/>
          </w:tcPr>
          <w:p w:rsidR="00B120D5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Si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objeto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modificaciones,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dentro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10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siguientes.</w:t>
            </w:r>
          </w:p>
          <w:p w:rsidR="00B120D5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tipos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suelo,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licencias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construcción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actualizarán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trimestralmente.</w:t>
            </w:r>
          </w:p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sufrir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modificaciones,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éstas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deberán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dentro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10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siguientes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Planes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vigentes.</w:t>
            </w:r>
          </w:p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tipos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suelo,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licencias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uso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construcción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curso.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administrativas,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directamente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través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competente,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plazo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anticipación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prevean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aplicables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sujeto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obligado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trate,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salvo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difusión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pueda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comprometer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efectos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pretenden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lograr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trate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situaciones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emergencia,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conformidad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dichas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disposiciones.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Adicionalmente,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caso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municipios: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contenido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gacetas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cuales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comprender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resolutivos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aprobados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ayuntamientos,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Trimestral,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correspondiente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gacetas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publicadas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durante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403259" w:rsidTr="009928EA">
        <w:trPr>
          <w:trHeight w:val="20"/>
        </w:trPr>
        <w:tc>
          <w:tcPr>
            <w:tcW w:w="1184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71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4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0325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403259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  <w:tc>
          <w:tcPr>
            <w:tcW w:w="1770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403259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cabildo,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controles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asistencia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integrantes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Ayuntamiento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cabildo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sentido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votación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lastRenderedPageBreak/>
              <w:t>de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miembros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cabildo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iniciativas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0325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i/>
                <w:sz w:val="16"/>
                <w:szCs w:val="18"/>
              </w:rPr>
              <w:t>acuerdos.</w:t>
            </w:r>
          </w:p>
        </w:tc>
        <w:tc>
          <w:tcPr>
            <w:tcW w:w="2409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2241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728" w:type="dxa"/>
            <w:vAlign w:val="center"/>
          </w:tcPr>
          <w:p w:rsidR="004D5B7A" w:rsidRPr="00403259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325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0325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325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</w:tbl>
    <w:p w:rsidR="00481D46" w:rsidRDefault="00481D46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sectPr w:rsidR="00481D46" w:rsidSect="00403259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C5" w:rsidRDefault="00C548C5">
      <w:r>
        <w:separator/>
      </w:r>
    </w:p>
  </w:endnote>
  <w:endnote w:type="continuationSeparator" w:id="0">
    <w:p w:rsidR="00C548C5" w:rsidRDefault="00C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C5" w:rsidRDefault="00C548C5">
      <w:r>
        <w:separator/>
      </w:r>
    </w:p>
  </w:footnote>
  <w:footnote w:type="continuationSeparator" w:id="0">
    <w:p w:rsidR="00C548C5" w:rsidRDefault="00C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56789"/>
    <w:rsid w:val="00056D04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E0795"/>
    <w:rsid w:val="000E6BF1"/>
    <w:rsid w:val="000F0FA3"/>
    <w:rsid w:val="000F3ABE"/>
    <w:rsid w:val="000F706A"/>
    <w:rsid w:val="0010703B"/>
    <w:rsid w:val="001303A7"/>
    <w:rsid w:val="00131F5A"/>
    <w:rsid w:val="00140A5C"/>
    <w:rsid w:val="00145431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A1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34F7E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B7933"/>
    <w:rsid w:val="002C3644"/>
    <w:rsid w:val="002D476D"/>
    <w:rsid w:val="002E0094"/>
    <w:rsid w:val="002E5AEF"/>
    <w:rsid w:val="002F6279"/>
    <w:rsid w:val="002F666A"/>
    <w:rsid w:val="0030321A"/>
    <w:rsid w:val="00306951"/>
    <w:rsid w:val="00313488"/>
    <w:rsid w:val="003137EF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6BA"/>
    <w:rsid w:val="00370AA5"/>
    <w:rsid w:val="00373DFE"/>
    <w:rsid w:val="0039202C"/>
    <w:rsid w:val="003958AA"/>
    <w:rsid w:val="003967FE"/>
    <w:rsid w:val="003A09A3"/>
    <w:rsid w:val="003B2214"/>
    <w:rsid w:val="003B46F2"/>
    <w:rsid w:val="003B64BC"/>
    <w:rsid w:val="003C010E"/>
    <w:rsid w:val="003C5EB9"/>
    <w:rsid w:val="003C6405"/>
    <w:rsid w:val="003D3A40"/>
    <w:rsid w:val="003D6457"/>
    <w:rsid w:val="003E5783"/>
    <w:rsid w:val="003E7472"/>
    <w:rsid w:val="0040301F"/>
    <w:rsid w:val="00403259"/>
    <w:rsid w:val="00407080"/>
    <w:rsid w:val="00410B8C"/>
    <w:rsid w:val="00412ED6"/>
    <w:rsid w:val="004142D5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81D46"/>
    <w:rsid w:val="00490665"/>
    <w:rsid w:val="00491FF9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03A7"/>
    <w:rsid w:val="005A0268"/>
    <w:rsid w:val="005A0954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37496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A1855"/>
    <w:rsid w:val="006B7539"/>
    <w:rsid w:val="006B777A"/>
    <w:rsid w:val="006C30AE"/>
    <w:rsid w:val="006D2E40"/>
    <w:rsid w:val="006D6A8E"/>
    <w:rsid w:val="006E2487"/>
    <w:rsid w:val="006E4EE3"/>
    <w:rsid w:val="006E66EC"/>
    <w:rsid w:val="006F35A4"/>
    <w:rsid w:val="006F785A"/>
    <w:rsid w:val="0070415B"/>
    <w:rsid w:val="00705E7D"/>
    <w:rsid w:val="00710DAA"/>
    <w:rsid w:val="00717A6D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2E54"/>
    <w:rsid w:val="007C007D"/>
    <w:rsid w:val="007D00B8"/>
    <w:rsid w:val="007D0C3B"/>
    <w:rsid w:val="007D286A"/>
    <w:rsid w:val="007D458A"/>
    <w:rsid w:val="007F4B12"/>
    <w:rsid w:val="007F7EC9"/>
    <w:rsid w:val="00816C4D"/>
    <w:rsid w:val="0082677E"/>
    <w:rsid w:val="00827CE1"/>
    <w:rsid w:val="0083080F"/>
    <w:rsid w:val="008319F5"/>
    <w:rsid w:val="00832E88"/>
    <w:rsid w:val="0083749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D7CEA"/>
    <w:rsid w:val="008E293D"/>
    <w:rsid w:val="008E35DF"/>
    <w:rsid w:val="008F5142"/>
    <w:rsid w:val="008F5A37"/>
    <w:rsid w:val="008F7A18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55BF"/>
    <w:rsid w:val="009928EA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9F4E25"/>
    <w:rsid w:val="00A06B84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97FF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01CB"/>
    <w:rsid w:val="00BB1CCD"/>
    <w:rsid w:val="00BB26D3"/>
    <w:rsid w:val="00BF091C"/>
    <w:rsid w:val="00C009E0"/>
    <w:rsid w:val="00C01B5D"/>
    <w:rsid w:val="00C200DC"/>
    <w:rsid w:val="00C258E4"/>
    <w:rsid w:val="00C313E8"/>
    <w:rsid w:val="00C34E17"/>
    <w:rsid w:val="00C41610"/>
    <w:rsid w:val="00C548C5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2998"/>
    <w:rsid w:val="00CD6850"/>
    <w:rsid w:val="00CD7BB2"/>
    <w:rsid w:val="00CE06BF"/>
    <w:rsid w:val="00CF3B2E"/>
    <w:rsid w:val="00CF6193"/>
    <w:rsid w:val="00D04785"/>
    <w:rsid w:val="00D11F13"/>
    <w:rsid w:val="00D22347"/>
    <w:rsid w:val="00D265D1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159D4"/>
    <w:rsid w:val="00E21F6A"/>
    <w:rsid w:val="00E30B22"/>
    <w:rsid w:val="00E3798A"/>
    <w:rsid w:val="00E42835"/>
    <w:rsid w:val="00E460F3"/>
    <w:rsid w:val="00E50177"/>
    <w:rsid w:val="00E5027B"/>
    <w:rsid w:val="00E5626A"/>
    <w:rsid w:val="00E73272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  <w:rsid w:val="00FF4A25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B55CFC-9734-435A-B7D5-3F73A7FA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D265D1"/>
    <w:rPr>
      <w:vertAlign w:val="superscript"/>
    </w:rPr>
  </w:style>
  <w:style w:type="paragraph" w:customStyle="1" w:styleId="Sumario">
    <w:name w:val="Sumario"/>
    <w:basedOn w:val="Normal"/>
    <w:rsid w:val="006A185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6A185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E309-34C8-435F-9096-6C91F83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5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5</cp:revision>
  <cp:lastPrinted>2016-05-10T16:02:00Z</cp:lastPrinted>
  <dcterms:created xsi:type="dcterms:W3CDTF">2016-09-21T20:55:00Z</dcterms:created>
  <dcterms:modified xsi:type="dcterms:W3CDTF">2016-09-22T13:33:00Z</dcterms:modified>
</cp:coreProperties>
</file>